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384</w:t>
      </w:r>
    </w:p>
    <w:p>
      <w:r>
        <w:t>Bundesgericht (BGE), 1999-10-18, DE</w:t>
      </w:r>
    </w:p>
    <w:p>
      <w:r>
        <w:rPr>
          <w:b/>
        </w:rPr>
        <w:t xml:space="preserve">Quelle: </w:t>
      </w:r>
      <w:r>
        <w:t>https://mcp.opencaselaw.ch/entscheid/bge_125 III 384</w:t>
      </w:r>
    </w:p>
    <w:p>
      <w:r>
        <w:t>FR: ATF 125 III 384</w:t>
      </w:r>
    </w:p>
    <w:p>
      <w:r>
        <w:t>IT: DTF 125 III 384</w:t>
      </w:r>
    </w:p>
    <w:p>
      <w:pPr>
        <w:pStyle w:val="Heading2"/>
      </w:pPr>
      <w:r>
        <w:t>Regeste</w:t>
      </w:r>
    </w:p>
    <w:p>
      <w:r>
        <w:t>Regeste Art. 65 SchKG; Zustellung von Betreibungsurkunden. Betreibungsurkunden können den in Art. 65 Abs. 1 SchKG als Vertreter genannten Personen auch ausserhalb des Geschäftslokals der betriebenen juristischen Person oder Gesellschaft zugestellt werden, ohne dass vorgängig versucht werden muss, sie im Geschäftslokal zuzustellen.</w:t>
      </w:r>
    </w:p>
    <w:p>
      <w:pPr>
        <w:pStyle w:val="Heading2"/>
      </w:pPr>
      <w:r>
        <w:t>Erwägungen</w:t>
      </w:r>
    </w:p>
    <w:p>
      <w:r>
        <w:rPr>
          <w:b/>
        </w:rPr>
        <w:t>E. 2</w:t>
      </w:r>
    </w:p>
    <w:p>
      <w:r>
        <w:t>a) Die im angefochtenen Urteil getroffene Feststellung, dass die Zahlungsbefehle in den Betreibungen Nrn. x und xx des Betreibungsamtes Olten-Gösgen am 30. April 1999 requisitorisch der in Tägerwilen wohnhaften S.H. zugestellt worden sind, wird von der Beschwerdeführerin ausdrücklich anerkannt. S.H. war im Zeitpunkt der Zustellung Prokuristin der Beschwerdeführerin, also eine Vertreterin der Schuldnerin, der nach Massgabe von Art. 65 Abs. 1 Ziff. 2 SchKG Betreibungsurkunden zugestellt werden können. Die Zahlungsbefehle sind durch die Prokuristin in die Hände einer jener natürlichen Personen gelangt, die für die Gesellschaft handeln können ( BGE 118 III 10 E. 3a). b) Vergeblich versucht die Beschwerdeführerin, etwas zu ihren Gunsten daraus abzuleiten, dass die Zustellungsbefehle auf Anhieb der Prokuristin an ihrer Privatadresse zugestellt wurden und dass nicht vorgängig eine Zustellung im Geschäftslokal der Schuldnerin angestrebt wurde. Im angefochtenen Urteil wird zutreffend auf die Rechtsprechung ( BGE 72 III 71 ) verwiesen, wonach Betreibungsurkunden den in Art. 65 Abs. 1 SchKG als Vertreter genannten Personen auch ausserhalb des Geschäftslokals der betriebenen juristischen Person oder Gesellschaft gültig zugestellt werden können. Dass die Zustellung an juristische Personen oder an Gesellschaften, die ein Geschäftslokal haben, rechtswirksam nur an diesem Ort geschehen könne, folge aus Art. 65 Abs. 2 SchKG nicht, ist in diesem Entscheid erklärt worden, aus dessen Sachverhalt hervorgeht, dass der Zahlungsbefehl dem volljährigen Sohn eines Vertreters der betriebenen Genossenschaft - und ausserhalb von deren Geschäftslokal - ausgehändigt wurde. Wenngleich die Beschwerdeführerin einen Autor zu nennen weiss, nach dessen Auffassung Betreibungsurkunden grundsätzlich im Geschäftslokal der betriebenen Gesellschaft zuzustellen sind und dem Vertreter nur in seiner Wohnung zugestellt werden können, wenn dieser im Geschäftslokal nicht anzutreffen ist oder gar kein BGE 125 III 384 S. 386 Geschäftslokal existiert (ANGST, in: Kommentar zum Bundesgesetz über Schuldbetreibung und Konkurs, Basel/Genf/München 1998, Art. 65 N. 9), schliessen sich andere Autoren der zitierten Rechtsprechung an, ohne daran Kritik zu üben (GILLIÉRON, Commentaire de la loi fédérale sur la poursuite pour dettes et la faillite, Lausanne, 1999, Art. 65 N. 45; JAEGER/WALDER/KULL/KOTTMANN, Bundesgesetz über Schuldbetreibung und Konkurs, 4. Auflage Zürich 1997, S. 280). Die bundesgerichtliche Rechtsprechung ist auch von kantonalen Aufsichtsbehörden übernommen worden (BlSchK 1993, S. 140 ff.: Graubünden; BlSchK 1994, S. 185: Schaffhausen); und die Zustellung unmittelbar am Wohnort eines Vertreters der betriebenen Gesellschaft - womit dem Zweck der gesetzlichen Regelung nachgelebt wird - ist denn auch gang und gäbe (BlSchK 1994, S. 187). Durch die Gesetzesrevision vom 16. Dezember 1994 ist daran nichts geändert worden (JAEGER/WALDER/KULL/KOTTMANN, op.cit., Art. 65 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